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C9" w:rsidRPr="00DC4714" w:rsidRDefault="00DC4714" w:rsidP="00DC4714">
      <w:pPr>
        <w:jc w:val="both"/>
        <w:rPr>
          <w:b/>
        </w:rPr>
      </w:pPr>
      <w:r w:rsidRPr="004B05F7">
        <w:rPr>
          <w:b/>
          <w:noProof/>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anchor distT="0" distB="0" distL="114300" distR="114300" simplePos="0" relativeHeight="251658240" behindDoc="0" locked="0" layoutInCell="1" allowOverlap="1" wp14:anchorId="49A8D7FC" wp14:editId="6D72C160">
            <wp:simplePos x="0" y="0"/>
            <wp:positionH relativeFrom="column">
              <wp:posOffset>4259580</wp:posOffset>
            </wp:positionH>
            <wp:positionV relativeFrom="paragraph">
              <wp:posOffset>-533400</wp:posOffset>
            </wp:positionV>
            <wp:extent cx="1813560" cy="1813560"/>
            <wp:effectExtent l="0" t="0" r="0" b="0"/>
            <wp:wrapNone/>
            <wp:docPr id="1" name="Picture 1" descr="http://whatsdoingtampabay.com/wp-content/uploads/2011/12/fire_clip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hatsdoingtampabay.com/wp-content/uploads/2011/12/fire_clipar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3560" cy="181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BC2883" w:rsidRPr="004B05F7">
        <w:rPr>
          <w:b/>
          <w:color w:val="F79646" w:themeColor="accent6"/>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FIRE SALE OPPORTUNITY – DO NOT MISS THIS</w:t>
      </w:r>
      <w:r w:rsidRPr="004B05F7">
        <w:rPr>
          <w:b/>
          <w:color w:val="F79646" w:themeColor="accent6"/>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507795">
        <w:rPr>
          <w:b/>
          <w:color w:val="F79646" w:themeColor="accent6"/>
          <w:sz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C2883" w:rsidRPr="00DC4714">
        <w:rPr>
          <w:b/>
          <w:sz w:val="32"/>
        </w:rPr>
        <w:t xml:space="preserve">          </w:t>
      </w:r>
    </w:p>
    <w:p w:rsidR="00AC4FBA" w:rsidRPr="00DC4714" w:rsidRDefault="00AC4FBA">
      <w:pPr>
        <w:rPr>
          <w:b/>
        </w:rPr>
      </w:pPr>
      <w:r w:rsidRPr="00DC4714">
        <w:rPr>
          <w:b/>
        </w:rPr>
        <w:t>TO:  All ASI Financial advisors and brokers</w:t>
      </w:r>
    </w:p>
    <w:p w:rsidR="00AC4FBA" w:rsidRDefault="00AC4FBA">
      <w:r w:rsidRPr="00DC4714">
        <w:rPr>
          <w:b/>
        </w:rPr>
        <w:t xml:space="preserve">From:  Jack Dewald, CLU, </w:t>
      </w:r>
      <w:proofErr w:type="gramStart"/>
      <w:r w:rsidRPr="00DC4714">
        <w:rPr>
          <w:b/>
        </w:rPr>
        <w:t>RHU</w:t>
      </w:r>
      <w:proofErr w:type="gramEnd"/>
      <w:r w:rsidRPr="00DC4714">
        <w:rPr>
          <w:b/>
        </w:rPr>
        <w:t xml:space="preserve"> – President – Agency Services, Inc</w:t>
      </w:r>
      <w:r>
        <w:t>.</w:t>
      </w:r>
    </w:p>
    <w:p w:rsidR="00AC4FBA" w:rsidRPr="00DC4714" w:rsidRDefault="00DC4714">
      <w:pPr>
        <w:rPr>
          <w:b/>
        </w:rPr>
      </w:pPr>
      <w:r>
        <w:rPr>
          <w:b/>
        </w:rPr>
        <w:t>RE</w:t>
      </w:r>
      <w:r w:rsidR="00AC4FBA" w:rsidRPr="00DC4714">
        <w:rPr>
          <w:b/>
        </w:rPr>
        <w:t>:   LIFE INS</w:t>
      </w:r>
      <w:r w:rsidR="007A7388">
        <w:rPr>
          <w:b/>
        </w:rPr>
        <w:t>URANCE RATES TO RISE MATERIALLY!</w:t>
      </w:r>
    </w:p>
    <w:p w:rsidR="00BC2883" w:rsidRDefault="00BC2883">
      <w:r>
        <w:t xml:space="preserve">As you have no doubt heard and </w:t>
      </w:r>
      <w:r w:rsidR="00AC4FBA">
        <w:t xml:space="preserve">perhaps </w:t>
      </w:r>
      <w:r>
        <w:t>read, the adoption of AG</w:t>
      </w:r>
      <w:bookmarkStart w:id="0" w:name="_GoBack"/>
      <w:bookmarkEnd w:id="0"/>
      <w:r>
        <w:t xml:space="preserve">38 (Actuarial Guideline 38) by the NAIC </w:t>
      </w:r>
      <w:r w:rsidR="00DC4714">
        <w:t>(</w:t>
      </w:r>
      <w:r>
        <w:t>National Association of Insurance Commissioners</w:t>
      </w:r>
      <w:r w:rsidR="00DC4714">
        <w:t>)</w:t>
      </w:r>
      <w:r>
        <w:t xml:space="preserve"> is set to have a PROFOUND and SIGNIFICANT impact on the price of Guaranteed Death Benefit UL prices</w:t>
      </w:r>
      <w:r w:rsidR="007A7388">
        <w:t>, beginning 1/1/2013</w:t>
      </w:r>
      <w:r>
        <w:t>.</w:t>
      </w:r>
    </w:p>
    <w:p w:rsidR="00BC2883" w:rsidRDefault="00BC2883">
      <w:r>
        <w:t xml:space="preserve">In addition, the period of </w:t>
      </w:r>
      <w:r w:rsidR="00AC4FBA">
        <w:t>extended low</w:t>
      </w:r>
      <w:r>
        <w:t xml:space="preserve"> interest </w:t>
      </w:r>
      <w:r w:rsidR="00AC4FBA">
        <w:t>rates (and well accepted predictions for further periods of low rates) are</w:t>
      </w:r>
      <w:r>
        <w:t xml:space="preserve"> causing many carriers to review pricing of their entire product portfolio</w:t>
      </w:r>
      <w:r w:rsidR="00AC4FBA">
        <w:t>.</w:t>
      </w:r>
    </w:p>
    <w:p w:rsidR="00AC4FBA" w:rsidRDefault="00AC4FBA">
      <w:r w:rsidRPr="009C5D78">
        <w:rPr>
          <w:b/>
          <w:i/>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Many industry experts </w:t>
      </w:r>
      <w:r w:rsidR="007A7388">
        <w:rPr>
          <w:b/>
          <w:i/>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predict</w:t>
      </w:r>
      <w:r w:rsidRPr="009C5D78">
        <w:rPr>
          <w:b/>
          <w:i/>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between 20%-30% increases in price as of 1/1/13</w:t>
      </w:r>
      <w:r w:rsidRPr="004B05F7">
        <w:rPr>
          <w:b/>
          <w:i/>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4B05F7">
        <w:rPr>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t>Many of our carriers have ALREADY reduced their product offerings, and several have withdraw</w:t>
      </w:r>
      <w:r w:rsidR="00DF7422">
        <w:t>n</w:t>
      </w:r>
      <w:r w:rsidR="00DC4714">
        <w:t xml:space="preserve"> </w:t>
      </w:r>
      <w:r>
        <w:t>certain products from sale.</w:t>
      </w:r>
    </w:p>
    <w:p w:rsidR="00AC4FBA" w:rsidRPr="00DC4714" w:rsidRDefault="00AC4FBA">
      <w:pPr>
        <w:rPr>
          <w:b/>
        </w:rPr>
      </w:pPr>
      <w:r w:rsidRPr="00DC4714">
        <w:rPr>
          <w:b/>
        </w:rPr>
        <w:t>Here are a few suggestions:</w:t>
      </w:r>
    </w:p>
    <w:p w:rsidR="00AC4FBA" w:rsidRDefault="00AC4FBA" w:rsidP="00AC4FBA">
      <w:pPr>
        <w:pStyle w:val="ListParagraph"/>
        <w:numPr>
          <w:ilvl w:val="0"/>
          <w:numId w:val="1"/>
        </w:numPr>
      </w:pPr>
      <w:r>
        <w:t xml:space="preserve">If you have any prospects (or suspects) who have been putting off the purchase of life insurance, now is the time to circle back and </w:t>
      </w:r>
      <w:r w:rsidR="007A7388">
        <w:t>notify</w:t>
      </w:r>
      <w:r>
        <w:t xml:space="preserve"> them of looming price increases</w:t>
      </w:r>
      <w:r w:rsidR="00DC4714">
        <w:t>.</w:t>
      </w:r>
    </w:p>
    <w:p w:rsidR="00AC4FBA" w:rsidRDefault="00AC4FBA" w:rsidP="00AC4FBA">
      <w:pPr>
        <w:pStyle w:val="ListParagraph"/>
        <w:numPr>
          <w:ilvl w:val="0"/>
          <w:numId w:val="1"/>
        </w:numPr>
      </w:pPr>
      <w:r>
        <w:t>If you have any in force term insurance policyholders, contact them SOO</w:t>
      </w:r>
      <w:r w:rsidR="00DF7422">
        <w:t>N – many were originally “price-</w:t>
      </w:r>
      <w:r>
        <w:t>conscious buyers” and the opportunity to CONVERT to a product BEFORE it goes up in price may be of substantial value to these clients.  We can help you determine expiration of conversion periods and provide you with a conversion proposal.</w:t>
      </w:r>
    </w:p>
    <w:p w:rsidR="00AC4FBA" w:rsidRDefault="00AC4FBA" w:rsidP="00AC4FBA">
      <w:pPr>
        <w:pStyle w:val="ListParagraph"/>
        <w:numPr>
          <w:ilvl w:val="0"/>
          <w:numId w:val="1"/>
        </w:numPr>
      </w:pPr>
      <w:r>
        <w:t>Use this time of uncertainty to reassure your clients you are looking out for their best interest.  Contact existing clients and tell them this news –they may want to buy more NOW.</w:t>
      </w:r>
    </w:p>
    <w:p w:rsidR="00AC4FBA" w:rsidRDefault="00AC4FBA" w:rsidP="00AC4FBA">
      <w:pPr>
        <w:pStyle w:val="ListParagraph"/>
        <w:numPr>
          <w:ilvl w:val="0"/>
          <w:numId w:val="1"/>
        </w:numPr>
      </w:pPr>
      <w:r>
        <w:t>Sometimes you know of “orphan” policyholders – those that have a policy in force that they have told you about, but that</w:t>
      </w:r>
      <w:r w:rsidR="00DC4714">
        <w:t xml:space="preserve"> was sold by</w:t>
      </w:r>
      <w:r>
        <w:t xml:space="preserve"> another agent who is retired or no longer in the business</w:t>
      </w:r>
      <w:r w:rsidR="00DC4714">
        <w:t xml:space="preserve">. </w:t>
      </w:r>
      <w:r>
        <w:t>Circle back to those folks and offer your assistance of a policy review.  We can help.</w:t>
      </w:r>
    </w:p>
    <w:p w:rsidR="00AC4FBA" w:rsidRDefault="00AC4FBA" w:rsidP="00AC4FBA">
      <w:pPr>
        <w:pStyle w:val="ListParagraph"/>
        <w:numPr>
          <w:ilvl w:val="0"/>
          <w:numId w:val="1"/>
        </w:numPr>
      </w:pPr>
      <w:r>
        <w:t>If you are on Facebook or write a blog, use your “circle of influence” to reach out and offer this news to folks who might not otherwise hear about it.</w:t>
      </w:r>
    </w:p>
    <w:p w:rsidR="00AC4FBA" w:rsidRDefault="007A7388" w:rsidP="00AC4FBA">
      <w:pPr>
        <w:pStyle w:val="ListParagraph"/>
        <w:numPr>
          <w:ilvl w:val="0"/>
          <w:numId w:val="1"/>
        </w:numPr>
      </w:pPr>
      <w:r>
        <w:t>R</w:t>
      </w:r>
      <w:r w:rsidR="00AC4FBA">
        <w:t xml:space="preserve">egardless of </w:t>
      </w:r>
      <w:r w:rsidR="00E40B3E">
        <w:t>who</w:t>
      </w:r>
      <w:r w:rsidR="00AC4FBA">
        <w:t xml:space="preserve"> wins the election, many people will review their financial and planning goals.  Take advantage of this opportunity</w:t>
      </w:r>
      <w:r w:rsidR="00DC4714">
        <w:t>!</w:t>
      </w:r>
    </w:p>
    <w:p w:rsidR="00AC4FBA" w:rsidRDefault="007A7388" w:rsidP="00AC4FBA">
      <w:hyperlink r:id="rId9" w:history="1">
        <w:r w:rsidR="00AC4FBA" w:rsidRPr="007A7388">
          <w:rPr>
            <w:rStyle w:val="Hyperlink"/>
          </w:rPr>
          <w:t>CLICK HERE</w:t>
        </w:r>
      </w:hyperlink>
      <w:r w:rsidR="00AC4FBA">
        <w:t xml:space="preserve"> for an up-to-date summary of each of our </w:t>
      </w:r>
      <w:r w:rsidR="00E40B3E">
        <w:t>carrier’s</w:t>
      </w:r>
      <w:r w:rsidR="00AC4FBA">
        <w:t xml:space="preserve"> actions related to AG38, or </w:t>
      </w:r>
      <w:proofErr w:type="gramStart"/>
      <w:r w:rsidR="00AC4FBA">
        <w:t>call</w:t>
      </w:r>
      <w:proofErr w:type="gramEnd"/>
      <w:r w:rsidR="00E40B3E">
        <w:t xml:space="preserve"> o</w:t>
      </w:r>
      <w:r w:rsidR="001F20EA">
        <w:t>u</w:t>
      </w:r>
      <w:r w:rsidR="00E40B3E">
        <w:t>r office for help with a case.</w:t>
      </w:r>
      <w:r w:rsidR="00DC4714">
        <w:t xml:space="preserve">  </w:t>
      </w:r>
    </w:p>
    <w:p w:rsidR="00DC4714" w:rsidRPr="008240CD" w:rsidRDefault="00DC4714" w:rsidP="00DC4714">
      <w:pPr>
        <w:pStyle w:val="Heading2"/>
        <w:rPr>
          <w:b/>
        </w:rPr>
      </w:pPr>
      <w:r w:rsidRPr="00DC4714">
        <w:rPr>
          <w:b/>
          <w:bCs w:val="0"/>
          <w:noProof/>
          <w:color w:val="333399"/>
          <w:sz w:val="24"/>
        </w:rPr>
        <mc:AlternateContent>
          <mc:Choice Requires="wps">
            <w:drawing>
              <wp:anchor distT="0" distB="0" distL="114300" distR="114300" simplePos="0" relativeHeight="251661312" behindDoc="0" locked="0" layoutInCell="1" allowOverlap="1" wp14:anchorId="62B6E047" wp14:editId="1CC6E38E">
                <wp:simplePos x="0" y="0"/>
                <wp:positionH relativeFrom="column">
                  <wp:posOffset>2552700</wp:posOffset>
                </wp:positionH>
                <wp:positionV relativeFrom="paragraph">
                  <wp:posOffset>331470</wp:posOffset>
                </wp:positionV>
                <wp:extent cx="32004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03985"/>
                        </a:xfrm>
                        <a:prstGeom prst="rect">
                          <a:avLst/>
                        </a:prstGeom>
                        <a:noFill/>
                        <a:ln w="9525">
                          <a:noFill/>
                          <a:miter lim="800000"/>
                          <a:headEnd/>
                          <a:tailEnd/>
                        </a:ln>
                      </wps:spPr>
                      <wps:txbx>
                        <w:txbxContent>
                          <w:p w:rsidR="00DC4714" w:rsidRPr="00DC4714" w:rsidRDefault="00DC4714" w:rsidP="00DC4714">
                            <w:pPr>
                              <w:pStyle w:val="Heading2"/>
                              <w:rPr>
                                <w:b/>
                                <w:bCs w:val="0"/>
                                <w:color w:val="17365D" w:themeColor="text2" w:themeShade="BF"/>
                                <w:sz w:val="28"/>
                              </w:rPr>
                            </w:pPr>
                            <w:r w:rsidRPr="00DC4714">
                              <w:rPr>
                                <w:b/>
                                <w:bCs w:val="0"/>
                                <w:color w:val="17365D" w:themeColor="text2" w:themeShade="BF"/>
                                <w:sz w:val="28"/>
                              </w:rPr>
                              <w:t>8275 Tournament Drive Suite 350</w:t>
                            </w:r>
                          </w:p>
                          <w:p w:rsidR="00DC4714" w:rsidRPr="00DC4714" w:rsidRDefault="00DC4714" w:rsidP="00DC4714">
                            <w:pPr>
                              <w:pStyle w:val="Heading2"/>
                              <w:rPr>
                                <w:b/>
                                <w:bCs w:val="0"/>
                                <w:color w:val="17365D" w:themeColor="text2" w:themeShade="BF"/>
                                <w:sz w:val="28"/>
                              </w:rPr>
                            </w:pPr>
                            <w:r w:rsidRPr="00DC4714">
                              <w:rPr>
                                <w:b/>
                                <w:bCs w:val="0"/>
                                <w:color w:val="17365D" w:themeColor="text2" w:themeShade="BF"/>
                                <w:sz w:val="28"/>
                              </w:rPr>
                              <w:t>Memphis, TN  38125</w:t>
                            </w:r>
                          </w:p>
                          <w:p w:rsidR="004B05F7" w:rsidRDefault="00DC4714" w:rsidP="00DC4714">
                            <w:pPr>
                              <w:pStyle w:val="Heading2"/>
                              <w:rPr>
                                <w:b/>
                                <w:bCs w:val="0"/>
                                <w:color w:val="17365D" w:themeColor="text2" w:themeShade="BF"/>
                                <w:sz w:val="28"/>
                              </w:rPr>
                            </w:pPr>
                            <w:r w:rsidRPr="00DC4714">
                              <w:rPr>
                                <w:b/>
                                <w:bCs w:val="0"/>
                                <w:color w:val="17365D" w:themeColor="text2" w:themeShade="BF"/>
                                <w:sz w:val="28"/>
                              </w:rPr>
                              <w:t>(901) 767-4271</w:t>
                            </w:r>
                            <w:r>
                              <w:rPr>
                                <w:b/>
                                <w:bCs w:val="0"/>
                                <w:color w:val="17365D" w:themeColor="text2" w:themeShade="BF"/>
                                <w:sz w:val="28"/>
                              </w:rPr>
                              <w:t xml:space="preserve"> </w:t>
                            </w:r>
                          </w:p>
                          <w:p w:rsidR="00DC4714" w:rsidRDefault="00DC4714" w:rsidP="00DC4714">
                            <w:pPr>
                              <w:pStyle w:val="Heading2"/>
                              <w:rPr>
                                <w:b/>
                                <w:bCs w:val="0"/>
                                <w:color w:val="17365D" w:themeColor="text2" w:themeShade="BF"/>
                                <w:sz w:val="28"/>
                              </w:rPr>
                            </w:pPr>
                            <w:r>
                              <w:rPr>
                                <w:b/>
                                <w:bCs w:val="0"/>
                                <w:color w:val="17365D" w:themeColor="text2" w:themeShade="BF"/>
                                <w:sz w:val="28"/>
                              </w:rPr>
                              <w:t>(800)</w:t>
                            </w:r>
                            <w:r w:rsidR="004B05F7">
                              <w:rPr>
                                <w:b/>
                                <w:bCs w:val="0"/>
                                <w:color w:val="17365D" w:themeColor="text2" w:themeShade="BF"/>
                                <w:sz w:val="28"/>
                              </w:rPr>
                              <w:t xml:space="preserve"> </w:t>
                            </w:r>
                            <w:r>
                              <w:rPr>
                                <w:b/>
                                <w:bCs w:val="0"/>
                                <w:color w:val="17365D" w:themeColor="text2" w:themeShade="BF"/>
                                <w:sz w:val="28"/>
                              </w:rPr>
                              <w:t>777-0988</w:t>
                            </w:r>
                          </w:p>
                          <w:p w:rsidR="00DC4714" w:rsidRPr="00DC4714" w:rsidRDefault="00DC4714" w:rsidP="00DC4714">
                            <w:pPr>
                              <w:rPr>
                                <w:b/>
                                <w:color w:val="17365D" w:themeColor="text2" w:themeShade="BF"/>
                                <w:sz w:val="56"/>
                              </w:rPr>
                            </w:pPr>
                            <w:r>
                              <w:tab/>
                            </w:r>
                            <w:r w:rsidRPr="00DC4714">
                              <w:rPr>
                                <w:b/>
                                <w:bCs/>
                                <w:color w:val="17365D" w:themeColor="text2" w:themeShade="BF"/>
                                <w:sz w:val="28"/>
                              </w:rPr>
                              <w:t>www.agencyservices.com</w:t>
                            </w:r>
                          </w:p>
                          <w:p w:rsidR="00DC4714" w:rsidRDefault="00DC47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1pt;margin-top:26.1pt;width:25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" filled="f" stroked="f">
                <v:textbox style="mso-fit-shape-to-text:t">
                  <w:txbxContent>
                    <w:p w:rsidR="00DC4714" w:rsidRPr="00DC4714" w:rsidRDefault="00DC4714" w:rsidP="00DC4714">
                      <w:pPr>
                        <w:pStyle w:val="Heading2"/>
                        <w:rPr>
                          <w:b/>
                          <w:bCs w:val="0"/>
                          <w:color w:val="17365D" w:themeColor="text2" w:themeShade="BF"/>
                          <w:sz w:val="28"/>
                        </w:rPr>
                      </w:pPr>
                      <w:r w:rsidRPr="00DC4714">
                        <w:rPr>
                          <w:b/>
                          <w:bCs w:val="0"/>
                          <w:color w:val="17365D" w:themeColor="text2" w:themeShade="BF"/>
                          <w:sz w:val="28"/>
                        </w:rPr>
                        <w:t>8275 Tournament Drive Suite 350</w:t>
                      </w:r>
                    </w:p>
                    <w:p w:rsidR="00DC4714" w:rsidRPr="00DC4714" w:rsidRDefault="00DC4714" w:rsidP="00DC4714">
                      <w:pPr>
                        <w:pStyle w:val="Heading2"/>
                        <w:rPr>
                          <w:b/>
                          <w:bCs w:val="0"/>
                          <w:color w:val="17365D" w:themeColor="text2" w:themeShade="BF"/>
                          <w:sz w:val="28"/>
                        </w:rPr>
                      </w:pPr>
                      <w:r w:rsidRPr="00DC4714">
                        <w:rPr>
                          <w:b/>
                          <w:bCs w:val="0"/>
                          <w:color w:val="17365D" w:themeColor="text2" w:themeShade="BF"/>
                          <w:sz w:val="28"/>
                        </w:rPr>
                        <w:t>Memphis, TN  38125</w:t>
                      </w:r>
                    </w:p>
                    <w:p w:rsidR="004B05F7" w:rsidRDefault="00DC4714" w:rsidP="00DC4714">
                      <w:pPr>
                        <w:pStyle w:val="Heading2"/>
                        <w:rPr>
                          <w:b/>
                          <w:bCs w:val="0"/>
                          <w:color w:val="17365D" w:themeColor="text2" w:themeShade="BF"/>
                          <w:sz w:val="28"/>
                        </w:rPr>
                      </w:pPr>
                      <w:r w:rsidRPr="00DC4714">
                        <w:rPr>
                          <w:b/>
                          <w:bCs w:val="0"/>
                          <w:color w:val="17365D" w:themeColor="text2" w:themeShade="BF"/>
                          <w:sz w:val="28"/>
                        </w:rPr>
                        <w:t>(901) 767-4271</w:t>
                      </w:r>
                      <w:r>
                        <w:rPr>
                          <w:b/>
                          <w:bCs w:val="0"/>
                          <w:color w:val="17365D" w:themeColor="text2" w:themeShade="BF"/>
                          <w:sz w:val="28"/>
                        </w:rPr>
                        <w:t xml:space="preserve"> </w:t>
                      </w:r>
                    </w:p>
                    <w:p w:rsidR="00DC4714" w:rsidRDefault="00DC4714" w:rsidP="00DC4714">
                      <w:pPr>
                        <w:pStyle w:val="Heading2"/>
                        <w:rPr>
                          <w:b/>
                          <w:bCs w:val="0"/>
                          <w:color w:val="17365D" w:themeColor="text2" w:themeShade="BF"/>
                          <w:sz w:val="28"/>
                        </w:rPr>
                      </w:pPr>
                      <w:r>
                        <w:rPr>
                          <w:b/>
                          <w:bCs w:val="0"/>
                          <w:color w:val="17365D" w:themeColor="text2" w:themeShade="BF"/>
                          <w:sz w:val="28"/>
                        </w:rPr>
                        <w:t>(800)</w:t>
                      </w:r>
                      <w:r w:rsidR="004B05F7">
                        <w:rPr>
                          <w:b/>
                          <w:bCs w:val="0"/>
                          <w:color w:val="17365D" w:themeColor="text2" w:themeShade="BF"/>
                          <w:sz w:val="28"/>
                        </w:rPr>
                        <w:t xml:space="preserve"> </w:t>
                      </w:r>
                      <w:r>
                        <w:rPr>
                          <w:b/>
                          <w:bCs w:val="0"/>
                          <w:color w:val="17365D" w:themeColor="text2" w:themeShade="BF"/>
                          <w:sz w:val="28"/>
                        </w:rPr>
                        <w:t>777-0988</w:t>
                      </w:r>
                    </w:p>
                    <w:p w:rsidR="00DC4714" w:rsidRPr="00DC4714" w:rsidRDefault="00DC4714" w:rsidP="00DC4714">
                      <w:pPr>
                        <w:rPr>
                          <w:b/>
                          <w:color w:val="17365D" w:themeColor="text2" w:themeShade="BF"/>
                          <w:sz w:val="56"/>
                        </w:rPr>
                      </w:pPr>
                      <w:r>
                        <w:tab/>
                      </w:r>
                      <w:r w:rsidRPr="00DC4714">
                        <w:rPr>
                          <w:b/>
                          <w:bCs/>
                          <w:color w:val="17365D" w:themeColor="text2" w:themeShade="BF"/>
                          <w:sz w:val="28"/>
                        </w:rPr>
                        <w:t>www.agencyservices.com</w:t>
                      </w:r>
                    </w:p>
                    <w:p w:rsidR="00DC4714" w:rsidRDefault="00DC4714"/>
                  </w:txbxContent>
                </v:textbox>
              </v:shape>
            </w:pict>
          </mc:Fallback>
        </mc:AlternateContent>
      </w:r>
      <w:r>
        <w:rPr>
          <w:noProof/>
        </w:rPr>
        <w:drawing>
          <wp:anchor distT="0" distB="0" distL="114300" distR="114300" simplePos="0" relativeHeight="251659264" behindDoc="0" locked="0" layoutInCell="1" allowOverlap="1" wp14:anchorId="6D27BCD2" wp14:editId="2883C8B0">
            <wp:simplePos x="0" y="0"/>
            <wp:positionH relativeFrom="column">
              <wp:posOffset>744791</wp:posOffset>
            </wp:positionH>
            <wp:positionV relativeFrom="paragraph">
              <wp:posOffset>175895</wp:posOffset>
            </wp:positionV>
            <wp:extent cx="1859280" cy="1253490"/>
            <wp:effectExtent l="0" t="0" r="762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 Logo 4.25.20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9280" cy="1253490"/>
                    </a:xfrm>
                    <a:prstGeom prst="rect">
                      <a:avLst/>
                    </a:prstGeom>
                  </pic:spPr>
                </pic:pic>
              </a:graphicData>
            </a:graphic>
            <wp14:sizeRelH relativeFrom="page">
              <wp14:pctWidth>0</wp14:pctWidth>
            </wp14:sizeRelH>
            <wp14:sizeRelV relativeFrom="page">
              <wp14:pctHeight>0</wp14:pctHeight>
            </wp14:sizeRelV>
          </wp:anchor>
        </w:drawing>
      </w:r>
      <w:r>
        <w:rPr>
          <w:b/>
          <w:bCs w:val="0"/>
          <w:color w:val="333399"/>
          <w:sz w:val="24"/>
        </w:rPr>
        <w:tab/>
      </w:r>
      <w:r>
        <w:rPr>
          <w:b/>
          <w:bCs w:val="0"/>
          <w:color w:val="333399"/>
          <w:sz w:val="24"/>
        </w:rPr>
        <w:tab/>
      </w:r>
      <w:r>
        <w:rPr>
          <w:b/>
          <w:bCs w:val="0"/>
          <w:color w:val="333399"/>
          <w:sz w:val="24"/>
        </w:rPr>
        <w:tab/>
      </w:r>
      <w:r>
        <w:rPr>
          <w:b/>
          <w:bCs w:val="0"/>
          <w:color w:val="333399"/>
          <w:sz w:val="24"/>
        </w:rPr>
        <w:tab/>
      </w:r>
    </w:p>
    <w:p w:rsidR="00E40B3E" w:rsidRDefault="00E40B3E" w:rsidP="00AC4FBA"/>
    <w:sectPr w:rsidR="00E40B3E" w:rsidSect="004B05F7">
      <w:pgSz w:w="12240" w:h="15840"/>
      <w:pgMar w:top="1440" w:right="1440" w:bottom="1440" w:left="1440" w:header="720" w:footer="720" w:gutter="0"/>
      <w:pgBorders w:offsetFrom="page">
        <w:top w:val="single" w:sz="18" w:space="24" w:color="E36C0A" w:themeColor="accent6" w:themeShade="BF"/>
        <w:left w:val="single" w:sz="18" w:space="24" w:color="E36C0A" w:themeColor="accent6" w:themeShade="BF"/>
        <w:bottom w:val="single" w:sz="18" w:space="24" w:color="E36C0A" w:themeColor="accent6" w:themeShade="BF"/>
        <w:right w:val="single" w:sz="18" w:space="24" w:color="E36C0A" w:themeColor="accent6"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5F2" w:rsidRDefault="005515F2" w:rsidP="00DC4714">
      <w:pPr>
        <w:spacing w:after="0" w:line="240" w:lineRule="auto"/>
      </w:pPr>
      <w:r>
        <w:separator/>
      </w:r>
    </w:p>
  </w:endnote>
  <w:endnote w:type="continuationSeparator" w:id="0">
    <w:p w:rsidR="005515F2" w:rsidRDefault="005515F2" w:rsidP="00DC4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5F2" w:rsidRDefault="005515F2" w:rsidP="00DC4714">
      <w:pPr>
        <w:spacing w:after="0" w:line="240" w:lineRule="auto"/>
      </w:pPr>
      <w:r>
        <w:separator/>
      </w:r>
    </w:p>
  </w:footnote>
  <w:footnote w:type="continuationSeparator" w:id="0">
    <w:p w:rsidR="005515F2" w:rsidRDefault="005515F2" w:rsidP="00DC4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33C6"/>
    <w:multiLevelType w:val="hybridMultilevel"/>
    <w:tmpl w:val="5DF4E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883"/>
    <w:rsid w:val="001A7EC9"/>
    <w:rsid w:val="001D3D89"/>
    <w:rsid w:val="001F20EA"/>
    <w:rsid w:val="00270E26"/>
    <w:rsid w:val="00273AF6"/>
    <w:rsid w:val="004B05F7"/>
    <w:rsid w:val="00507795"/>
    <w:rsid w:val="005515F2"/>
    <w:rsid w:val="007A7388"/>
    <w:rsid w:val="008304AE"/>
    <w:rsid w:val="009A5E9C"/>
    <w:rsid w:val="009C5D78"/>
    <w:rsid w:val="00AC4FBA"/>
    <w:rsid w:val="00BC2883"/>
    <w:rsid w:val="00DC4714"/>
    <w:rsid w:val="00DF7422"/>
    <w:rsid w:val="00E40B3E"/>
    <w:rsid w:val="00FF5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C4714"/>
    <w:pPr>
      <w:keepNext/>
      <w:spacing w:after="0" w:line="240" w:lineRule="auto"/>
      <w:jc w:val="center"/>
      <w:outlineLvl w:val="1"/>
    </w:pPr>
    <w:rPr>
      <w:rFonts w:ascii="Times New Roman" w:eastAsia="Times New Roman" w:hAnsi="Times New Roman" w:cs="Times New Roman"/>
      <w:bCs/>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BA"/>
    <w:pPr>
      <w:ind w:left="720"/>
      <w:contextualSpacing/>
    </w:pPr>
  </w:style>
  <w:style w:type="paragraph" w:styleId="Header">
    <w:name w:val="header"/>
    <w:basedOn w:val="Normal"/>
    <w:link w:val="HeaderChar"/>
    <w:uiPriority w:val="99"/>
    <w:unhideWhenUsed/>
    <w:rsid w:val="00DC4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714"/>
  </w:style>
  <w:style w:type="paragraph" w:styleId="Footer">
    <w:name w:val="footer"/>
    <w:basedOn w:val="Normal"/>
    <w:link w:val="FooterChar"/>
    <w:uiPriority w:val="99"/>
    <w:unhideWhenUsed/>
    <w:rsid w:val="00DC4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714"/>
  </w:style>
  <w:style w:type="paragraph" w:styleId="BalloonText">
    <w:name w:val="Balloon Text"/>
    <w:basedOn w:val="Normal"/>
    <w:link w:val="BalloonTextChar"/>
    <w:uiPriority w:val="99"/>
    <w:semiHidden/>
    <w:unhideWhenUsed/>
    <w:rsid w:val="00DC4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714"/>
    <w:rPr>
      <w:rFonts w:ascii="Tahoma" w:hAnsi="Tahoma" w:cs="Tahoma"/>
      <w:sz w:val="16"/>
      <w:szCs w:val="16"/>
    </w:rPr>
  </w:style>
  <w:style w:type="character" w:customStyle="1" w:styleId="Heading2Char">
    <w:name w:val="Heading 2 Char"/>
    <w:basedOn w:val="DefaultParagraphFont"/>
    <w:link w:val="Heading2"/>
    <w:rsid w:val="00DC4714"/>
    <w:rPr>
      <w:rFonts w:ascii="Times New Roman" w:eastAsia="Times New Roman" w:hAnsi="Times New Roman" w:cs="Times New Roman"/>
      <w:bCs/>
      <w:sz w:val="52"/>
      <w:szCs w:val="20"/>
    </w:rPr>
  </w:style>
  <w:style w:type="character" w:styleId="Hyperlink">
    <w:name w:val="Hyperlink"/>
    <w:basedOn w:val="DefaultParagraphFont"/>
    <w:uiPriority w:val="99"/>
    <w:unhideWhenUsed/>
    <w:rsid w:val="007A73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C4714"/>
    <w:pPr>
      <w:keepNext/>
      <w:spacing w:after="0" w:line="240" w:lineRule="auto"/>
      <w:jc w:val="center"/>
      <w:outlineLvl w:val="1"/>
    </w:pPr>
    <w:rPr>
      <w:rFonts w:ascii="Times New Roman" w:eastAsia="Times New Roman" w:hAnsi="Times New Roman" w:cs="Times New Roman"/>
      <w:bCs/>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BA"/>
    <w:pPr>
      <w:ind w:left="720"/>
      <w:contextualSpacing/>
    </w:pPr>
  </w:style>
  <w:style w:type="paragraph" w:styleId="Header">
    <w:name w:val="header"/>
    <w:basedOn w:val="Normal"/>
    <w:link w:val="HeaderChar"/>
    <w:uiPriority w:val="99"/>
    <w:unhideWhenUsed/>
    <w:rsid w:val="00DC4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714"/>
  </w:style>
  <w:style w:type="paragraph" w:styleId="Footer">
    <w:name w:val="footer"/>
    <w:basedOn w:val="Normal"/>
    <w:link w:val="FooterChar"/>
    <w:uiPriority w:val="99"/>
    <w:unhideWhenUsed/>
    <w:rsid w:val="00DC4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714"/>
  </w:style>
  <w:style w:type="paragraph" w:styleId="BalloonText">
    <w:name w:val="Balloon Text"/>
    <w:basedOn w:val="Normal"/>
    <w:link w:val="BalloonTextChar"/>
    <w:uiPriority w:val="99"/>
    <w:semiHidden/>
    <w:unhideWhenUsed/>
    <w:rsid w:val="00DC47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714"/>
    <w:rPr>
      <w:rFonts w:ascii="Tahoma" w:hAnsi="Tahoma" w:cs="Tahoma"/>
      <w:sz w:val="16"/>
      <w:szCs w:val="16"/>
    </w:rPr>
  </w:style>
  <w:style w:type="character" w:customStyle="1" w:styleId="Heading2Char">
    <w:name w:val="Heading 2 Char"/>
    <w:basedOn w:val="DefaultParagraphFont"/>
    <w:link w:val="Heading2"/>
    <w:rsid w:val="00DC4714"/>
    <w:rPr>
      <w:rFonts w:ascii="Times New Roman" w:eastAsia="Times New Roman" w:hAnsi="Times New Roman" w:cs="Times New Roman"/>
      <w:bCs/>
      <w:sz w:val="52"/>
      <w:szCs w:val="20"/>
    </w:rPr>
  </w:style>
  <w:style w:type="character" w:styleId="Hyperlink">
    <w:name w:val="Hyperlink"/>
    <w:basedOn w:val="DefaultParagraphFont"/>
    <w:uiPriority w:val="99"/>
    <w:unhideWhenUsed/>
    <w:rsid w:val="007A73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gencyserv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Rena</cp:lastModifiedBy>
  <cp:revision>9</cp:revision>
  <cp:lastPrinted>2012-11-02T20:55:00Z</cp:lastPrinted>
  <dcterms:created xsi:type="dcterms:W3CDTF">2012-11-02T16:46:00Z</dcterms:created>
  <dcterms:modified xsi:type="dcterms:W3CDTF">2012-11-06T19:32:00Z</dcterms:modified>
</cp:coreProperties>
</file>